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600" w:lineRule="exact"/>
        <w:jc w:val="center"/>
        <w:rPr>
          <w:rFonts w:ascii="宋体" w:hAnsi="宋体" w:eastAsia="宋体" w:cs="宋体"/>
          <w:b/>
          <w:color w:val="000000"/>
          <w:sz w:val="52"/>
          <w:szCs w:val="52"/>
        </w:rPr>
      </w:pPr>
    </w:p>
    <w:p>
      <w:pPr>
        <w:spacing w:line="600" w:lineRule="exact"/>
        <w:jc w:val="center"/>
        <w:rPr>
          <w:rFonts w:ascii="宋体" w:hAnsi="宋体" w:eastAsia="宋体" w:cs="宋体"/>
          <w:b/>
          <w:color w:val="000000"/>
          <w:sz w:val="52"/>
          <w:szCs w:val="52"/>
        </w:rPr>
      </w:pPr>
    </w:p>
    <w:p>
      <w:pPr>
        <w:spacing w:line="600" w:lineRule="exact"/>
        <w:jc w:val="center"/>
        <w:rPr>
          <w:rFonts w:ascii="宋体" w:hAnsi="宋体" w:eastAsia="宋体" w:cs="宋体"/>
          <w:b/>
          <w:color w:val="0070C0"/>
          <w:sz w:val="52"/>
          <w:szCs w:val="52"/>
        </w:rPr>
      </w:pPr>
    </w:p>
    <w:p>
      <w:pPr>
        <w:spacing w:line="600" w:lineRule="exact"/>
        <w:jc w:val="center"/>
        <w:rPr>
          <w:rFonts w:ascii="宋体" w:hAnsi="宋体" w:eastAsia="宋体" w:cs="宋体"/>
          <w:b/>
          <w:sz w:val="52"/>
          <w:szCs w:val="52"/>
        </w:rPr>
      </w:pPr>
      <w:r>
        <w:rPr>
          <w:rFonts w:hint="eastAsia" w:ascii="宋体" w:hAnsi="宋体" w:eastAsia="宋体" w:cs="宋体"/>
          <w:b/>
          <w:sz w:val="52"/>
          <w:szCs w:val="52"/>
        </w:rPr>
        <w:t>项目支出绩效自评报告</w:t>
      </w:r>
    </w:p>
    <w:p>
      <w:pPr>
        <w:spacing w:line="600" w:lineRule="exact"/>
        <w:jc w:val="center"/>
        <w:rPr>
          <w:rFonts w:ascii="宋体" w:hAnsi="宋体" w:eastAsia="宋体" w:cs="宋体"/>
          <w:b/>
          <w:sz w:val="52"/>
          <w:szCs w:val="52"/>
        </w:rPr>
      </w:pPr>
      <w:r>
        <w:rPr>
          <w:rFonts w:hint="eastAsia" w:ascii="宋体" w:hAnsi="宋体" w:eastAsia="宋体" w:cs="宋体"/>
          <w:b/>
          <w:sz w:val="52"/>
          <w:szCs w:val="52"/>
        </w:rPr>
        <w:t>（解决改革遗留问题）</w:t>
      </w:r>
    </w:p>
    <w:p>
      <w:pPr>
        <w:spacing w:line="600" w:lineRule="exact"/>
        <w:jc w:val="center"/>
        <w:rPr>
          <w:rFonts w:ascii="方正小标宋简体" w:hAnsi="方正小标宋简体" w:eastAsia="方正小标宋简体" w:cs="方正小标宋简体"/>
          <w:bCs/>
          <w:sz w:val="36"/>
          <w:szCs w:val="36"/>
        </w:rPr>
      </w:pPr>
    </w:p>
    <w:p>
      <w:pPr>
        <w:spacing w:line="600" w:lineRule="exact"/>
        <w:jc w:val="center"/>
        <w:rPr>
          <w:rFonts w:ascii="方正小标宋简体" w:hAnsi="方正小标宋简体" w:eastAsia="方正小标宋简体" w:cs="方正小标宋简体"/>
          <w:bCs/>
          <w:sz w:val="36"/>
          <w:szCs w:val="36"/>
        </w:rPr>
      </w:pPr>
    </w:p>
    <w:p>
      <w:pPr>
        <w:spacing w:line="600" w:lineRule="exact"/>
        <w:ind w:firstLine="1920" w:firstLineChars="600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部门（单位）：三门峡市交通运输局执法处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（支队）</w:t>
      </w:r>
    </w:p>
    <w:p>
      <w:pPr>
        <w:spacing w:line="600" w:lineRule="exact"/>
        <w:jc w:val="center"/>
        <w:rPr>
          <w:rFonts w:ascii="仿宋" w:hAnsi="仿宋" w:eastAsia="仿宋" w:cs="仿宋"/>
          <w:bCs/>
          <w:sz w:val="32"/>
          <w:szCs w:val="32"/>
        </w:rPr>
      </w:pPr>
    </w:p>
    <w:p>
      <w:pPr>
        <w:spacing w:line="600" w:lineRule="exact"/>
        <w:ind w:left="1680" w:firstLine="4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预算编码：40400</w:t>
      </w:r>
      <w:r>
        <w:rPr>
          <w:rFonts w:ascii="仿宋" w:hAnsi="仿宋" w:eastAsia="仿宋" w:cs="仿宋"/>
          <w:bCs/>
          <w:sz w:val="32"/>
          <w:szCs w:val="32"/>
        </w:rPr>
        <w:t>8</w:t>
      </w:r>
    </w:p>
    <w:p>
      <w:pPr>
        <w:spacing w:line="600" w:lineRule="exact"/>
        <w:jc w:val="center"/>
        <w:rPr>
          <w:rFonts w:ascii="仿宋" w:hAnsi="仿宋" w:eastAsia="仿宋" w:cs="仿宋"/>
          <w:bCs/>
          <w:sz w:val="32"/>
          <w:szCs w:val="32"/>
        </w:rPr>
      </w:pPr>
    </w:p>
    <w:p>
      <w:pPr>
        <w:spacing w:line="600" w:lineRule="exact"/>
        <w:jc w:val="center"/>
        <w:rPr>
          <w:rFonts w:ascii="仿宋" w:hAnsi="仿宋" w:eastAsia="仿宋" w:cs="仿宋"/>
          <w:bCs/>
          <w:sz w:val="32"/>
          <w:szCs w:val="32"/>
        </w:rPr>
      </w:pPr>
    </w:p>
    <w:p>
      <w:pPr>
        <w:spacing w:line="600" w:lineRule="exact"/>
        <w:ind w:left="1680" w:firstLine="420"/>
        <w:rPr>
          <w:rFonts w:hint="eastAsia" w:ascii="仿宋" w:hAnsi="仿宋" w:eastAsia="仿宋" w:cs="仿宋"/>
          <w:bCs/>
          <w:sz w:val="32"/>
          <w:szCs w:val="32"/>
          <w:lang w:val="en" w:eastAsia="zh-CN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单位负责人：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张克奇</w:t>
      </w:r>
    </w:p>
    <w:p>
      <w:pPr>
        <w:spacing w:line="600" w:lineRule="exact"/>
        <w:ind w:left="1680" w:firstLine="420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财务负责人：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牛红艳</w:t>
      </w:r>
    </w:p>
    <w:p>
      <w:pPr>
        <w:spacing w:line="600" w:lineRule="exact"/>
        <w:jc w:val="center"/>
        <w:rPr>
          <w:rFonts w:ascii="仿宋" w:hAnsi="仿宋" w:eastAsia="仿宋" w:cs="仿宋"/>
          <w:bCs/>
          <w:sz w:val="32"/>
          <w:szCs w:val="32"/>
        </w:rPr>
      </w:pPr>
    </w:p>
    <w:p>
      <w:pPr>
        <w:spacing w:line="600" w:lineRule="exact"/>
        <w:ind w:left="1680" w:firstLine="4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评价方式：市执法处自评</w:t>
      </w:r>
    </w:p>
    <w:p>
      <w:pPr>
        <w:spacing w:line="600" w:lineRule="exact"/>
        <w:ind w:left="1680" w:firstLine="4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填报人：宁光辉</w:t>
      </w:r>
    </w:p>
    <w:p>
      <w:pPr>
        <w:spacing w:line="600" w:lineRule="exact"/>
        <w:ind w:left="1680" w:firstLine="4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联系电话：</w:t>
      </w:r>
      <w:r>
        <w:rPr>
          <w:rFonts w:ascii="仿宋" w:hAnsi="仿宋" w:eastAsia="仿宋" w:cs="仿宋"/>
          <w:bCs/>
          <w:sz w:val="32"/>
          <w:szCs w:val="32"/>
        </w:rPr>
        <w:t>15139880501</w:t>
      </w:r>
    </w:p>
    <w:p>
      <w:pPr>
        <w:spacing w:line="600" w:lineRule="exact"/>
        <w:jc w:val="center"/>
        <w:rPr>
          <w:rFonts w:ascii="仿宋" w:hAnsi="仿宋" w:eastAsia="仿宋" w:cs="仿宋"/>
          <w:bCs/>
          <w:sz w:val="32"/>
          <w:szCs w:val="32"/>
        </w:rPr>
      </w:pPr>
    </w:p>
    <w:p>
      <w:pPr>
        <w:spacing w:line="600" w:lineRule="exact"/>
        <w:jc w:val="center"/>
        <w:rPr>
          <w:rFonts w:ascii="仿宋" w:hAnsi="仿宋" w:eastAsia="仿宋" w:cs="仿宋"/>
          <w:bCs/>
          <w:sz w:val="32"/>
          <w:szCs w:val="32"/>
        </w:rPr>
      </w:pPr>
    </w:p>
    <w:p>
      <w:pPr>
        <w:spacing w:line="600" w:lineRule="exact"/>
        <w:jc w:val="center"/>
        <w:rPr>
          <w:rFonts w:ascii="仿宋" w:hAnsi="仿宋" w:eastAsia="仿宋" w:cs="仿宋"/>
          <w:bCs/>
          <w:sz w:val="32"/>
          <w:szCs w:val="32"/>
        </w:rPr>
      </w:pPr>
    </w:p>
    <w:p>
      <w:pPr>
        <w:spacing w:line="600" w:lineRule="exact"/>
        <w:jc w:val="center"/>
        <w:rPr>
          <w:rFonts w:ascii="仿宋" w:hAnsi="仿宋" w:eastAsia="仿宋" w:cs="仿宋"/>
          <w:bCs/>
          <w:sz w:val="32"/>
          <w:szCs w:val="32"/>
        </w:rPr>
      </w:pPr>
    </w:p>
    <w:p>
      <w:pPr>
        <w:spacing w:line="600" w:lineRule="exact"/>
        <w:jc w:val="center"/>
        <w:rPr>
          <w:rFonts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三门峡市交通运输局执法处项目支出自评报告</w:t>
      </w:r>
    </w:p>
    <w:p>
      <w:pPr>
        <w:spacing w:line="600" w:lineRule="exact"/>
        <w:jc w:val="center"/>
        <w:rPr>
          <w:rFonts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（解决改革遗留问题）</w:t>
      </w:r>
    </w:p>
    <w:p>
      <w:pPr>
        <w:spacing w:before="204" w:beforeLines="50" w:line="600" w:lineRule="exact"/>
        <w:jc w:val="center"/>
        <w:rPr>
          <w:rFonts w:hint="eastAsia" w:ascii="楷体" w:hAnsi="楷体" w:eastAsia="楷体" w:cs="楷体"/>
          <w:bCs/>
          <w:sz w:val="32"/>
          <w:szCs w:val="32"/>
        </w:rPr>
      </w:pPr>
      <w:r>
        <w:rPr>
          <w:rFonts w:hint="eastAsia" w:ascii="楷体" w:hAnsi="楷体" w:eastAsia="楷体" w:cs="楷体"/>
          <w:bCs/>
          <w:sz w:val="32"/>
          <w:szCs w:val="32"/>
        </w:rPr>
        <w:t>202</w:t>
      </w:r>
      <w:r>
        <w:rPr>
          <w:rFonts w:hint="eastAsia" w:ascii="楷体" w:hAnsi="楷体" w:eastAsia="楷体" w:cs="楷体"/>
          <w:bCs/>
          <w:sz w:val="32"/>
          <w:szCs w:val="32"/>
          <w:lang w:val="en-US" w:eastAsia="zh-CN"/>
        </w:rPr>
        <w:t>1</w:t>
      </w:r>
      <w:r>
        <w:rPr>
          <w:rFonts w:hint="eastAsia" w:ascii="楷体" w:hAnsi="楷体" w:eastAsia="楷体" w:cs="楷体"/>
          <w:bCs/>
          <w:sz w:val="32"/>
          <w:szCs w:val="32"/>
        </w:rPr>
        <w:t>年</w:t>
      </w:r>
    </w:p>
    <w:p>
      <w:pPr>
        <w:spacing w:line="600" w:lineRule="exact"/>
        <w:jc w:val="center"/>
        <w:rPr>
          <w:rFonts w:hint="eastAsia" w:ascii="黑体" w:hAnsi="黑体" w:cs="黑体"/>
          <w:bCs/>
          <w:color w:val="000000"/>
          <w:szCs w:val="30"/>
        </w:rPr>
      </w:pPr>
    </w:p>
    <w:p>
      <w:pPr>
        <w:numPr>
          <w:ilvl w:val="0"/>
          <w:numId w:val="1"/>
        </w:numPr>
        <w:spacing w:line="600" w:lineRule="exact"/>
        <w:ind w:firstLine="600" w:firstLineChars="200"/>
        <w:rPr>
          <w:rFonts w:hint="eastAsia" w:ascii="黑体" w:hAnsi="黑体" w:eastAsia="黑体" w:cs="黑体"/>
          <w:bCs/>
          <w:color w:val="000000"/>
          <w:szCs w:val="30"/>
        </w:rPr>
      </w:pPr>
      <w:r>
        <w:rPr>
          <w:rFonts w:hint="eastAsia" w:ascii="黑体" w:hAnsi="黑体" w:eastAsia="黑体" w:cs="黑体"/>
          <w:bCs/>
          <w:color w:val="000000"/>
          <w:szCs w:val="30"/>
        </w:rPr>
        <w:t>项目支出基本情况</w:t>
      </w:r>
    </w:p>
    <w:p>
      <w:pPr>
        <w:snapToGrid w:val="0"/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我处根据《三门峡市财政局关于批复2</w:t>
      </w:r>
      <w:r>
        <w:rPr>
          <w:rFonts w:ascii="仿宋" w:hAnsi="仿宋" w:eastAsia="仿宋" w:cs="仿宋"/>
          <w:sz w:val="32"/>
          <w:szCs w:val="32"/>
        </w:rPr>
        <w:t>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年市直部门收支预算的通知》（三财豫[20</w:t>
      </w:r>
      <w:r>
        <w:rPr>
          <w:rFonts w:ascii="仿宋" w:hAnsi="仿宋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]</w:t>
      </w:r>
      <w:r>
        <w:rPr>
          <w:rFonts w:ascii="仿宋" w:hAnsi="仿宋" w:eastAsia="仿宋" w:cs="仿宋"/>
          <w:sz w:val="32"/>
          <w:szCs w:val="32"/>
        </w:rPr>
        <w:t>61</w:t>
      </w:r>
      <w:r>
        <w:rPr>
          <w:rFonts w:hint="eastAsia" w:ascii="仿宋" w:hAnsi="仿宋" w:eastAsia="仿宋" w:cs="仿宋"/>
          <w:sz w:val="32"/>
          <w:szCs w:val="32"/>
        </w:rPr>
        <w:t>号）文件精神和有关管理规定，2</w:t>
      </w:r>
      <w:r>
        <w:rPr>
          <w:rFonts w:ascii="仿宋" w:hAnsi="仿宋" w:eastAsia="仿宋" w:cs="仿宋"/>
          <w:sz w:val="32"/>
          <w:szCs w:val="32"/>
        </w:rPr>
        <w:t>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年批复我单位预算总计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2719.65</w:t>
      </w:r>
      <w:r>
        <w:rPr>
          <w:rFonts w:hint="eastAsia" w:ascii="仿宋" w:hAnsi="仿宋" w:eastAsia="仿宋" w:cs="仿宋"/>
          <w:sz w:val="32"/>
          <w:szCs w:val="32"/>
        </w:rPr>
        <w:t>万元，其中基本支出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2509.65</w:t>
      </w:r>
      <w:r>
        <w:rPr>
          <w:rFonts w:hint="eastAsia" w:ascii="仿宋" w:hAnsi="仿宋" w:eastAsia="仿宋" w:cs="仿宋"/>
          <w:sz w:val="32"/>
          <w:szCs w:val="32"/>
        </w:rPr>
        <w:t>万元（含人员经费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2425.22</w:t>
      </w:r>
      <w:r>
        <w:rPr>
          <w:rFonts w:hint="eastAsia" w:ascii="仿宋" w:hAnsi="仿宋" w:eastAsia="仿宋" w:cs="仿宋"/>
          <w:sz w:val="32"/>
          <w:szCs w:val="32"/>
        </w:rPr>
        <w:t>万元，公用经费8</w:t>
      </w:r>
      <w:r>
        <w:rPr>
          <w:rFonts w:ascii="仿宋" w:hAnsi="仿宋" w:eastAsia="仿宋" w:cs="仿宋"/>
          <w:sz w:val="32"/>
          <w:szCs w:val="32"/>
        </w:rPr>
        <w:t>4.43</w:t>
      </w:r>
      <w:r>
        <w:rPr>
          <w:rFonts w:hint="eastAsia" w:ascii="仿宋" w:hAnsi="仿宋" w:eastAsia="仿宋" w:cs="仿宋"/>
          <w:sz w:val="32"/>
          <w:szCs w:val="32"/>
        </w:rPr>
        <w:t>万元），项目支出2</w:t>
      </w:r>
      <w:r>
        <w:rPr>
          <w:rFonts w:ascii="仿宋" w:hAnsi="仿宋" w:eastAsia="仿宋" w:cs="仿宋"/>
          <w:sz w:val="32"/>
          <w:szCs w:val="32"/>
        </w:rPr>
        <w:t>10</w:t>
      </w:r>
      <w:r>
        <w:rPr>
          <w:rFonts w:hint="eastAsia" w:ascii="仿宋" w:hAnsi="仿宋" w:eastAsia="仿宋" w:cs="仿宋"/>
          <w:sz w:val="32"/>
          <w:szCs w:val="32"/>
        </w:rPr>
        <w:t>万元，近几年项目支出均为</w:t>
      </w:r>
      <w:r>
        <w:rPr>
          <w:rFonts w:ascii="仿宋" w:hAnsi="仿宋" w:eastAsia="仿宋" w:cs="仿宋"/>
          <w:sz w:val="32"/>
          <w:szCs w:val="32"/>
        </w:rPr>
        <w:t>210</w:t>
      </w:r>
      <w:r>
        <w:rPr>
          <w:rFonts w:hint="eastAsia" w:ascii="仿宋" w:hAnsi="仿宋" w:eastAsia="仿宋" w:cs="仿宋"/>
          <w:sz w:val="32"/>
          <w:szCs w:val="32"/>
        </w:rPr>
        <w:t>万元（2</w:t>
      </w:r>
      <w:r>
        <w:rPr>
          <w:rFonts w:ascii="仿宋" w:hAnsi="仿宋" w:eastAsia="仿宋" w:cs="仿宋"/>
          <w:sz w:val="32"/>
          <w:szCs w:val="32"/>
        </w:rPr>
        <w:t>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年实际项目支出为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113.92</w:t>
      </w:r>
      <w:r>
        <w:rPr>
          <w:rFonts w:hint="eastAsia" w:ascii="仿宋" w:hAnsi="仿宋" w:eastAsia="仿宋" w:cs="仿宋"/>
          <w:sz w:val="32"/>
          <w:szCs w:val="32"/>
        </w:rPr>
        <w:t>万元），其中解决改革遗留问题项目支出为1</w:t>
      </w:r>
      <w:r>
        <w:rPr>
          <w:rFonts w:ascii="仿宋" w:hAnsi="仿宋" w:eastAsia="仿宋" w:cs="仿宋"/>
          <w:sz w:val="32"/>
          <w:szCs w:val="32"/>
        </w:rPr>
        <w:t>50</w:t>
      </w:r>
      <w:r>
        <w:rPr>
          <w:rFonts w:hint="eastAsia" w:ascii="仿宋" w:hAnsi="仿宋" w:eastAsia="仿宋" w:cs="仿宋"/>
          <w:sz w:val="32"/>
          <w:szCs w:val="32"/>
        </w:rPr>
        <w:t>万元（2</w:t>
      </w:r>
      <w:r>
        <w:rPr>
          <w:rFonts w:ascii="仿宋" w:hAnsi="仿宋" w:eastAsia="仿宋" w:cs="仿宋"/>
          <w:sz w:val="32"/>
          <w:szCs w:val="32"/>
        </w:rPr>
        <w:t>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年实际项目支出为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63.92</w:t>
      </w:r>
      <w:r>
        <w:rPr>
          <w:rFonts w:hint="eastAsia" w:ascii="仿宋" w:hAnsi="仿宋" w:eastAsia="仿宋" w:cs="仿宋"/>
          <w:sz w:val="32"/>
          <w:szCs w:val="32"/>
        </w:rPr>
        <w:t>万元）。经审核，资金由财政审批后拨付我单位使用。</w:t>
      </w:r>
    </w:p>
    <w:p>
      <w:pPr>
        <w:numPr>
          <w:ilvl w:val="0"/>
          <w:numId w:val="1"/>
        </w:numPr>
        <w:spacing w:line="600" w:lineRule="exact"/>
        <w:ind w:firstLine="600" w:firstLineChars="200"/>
        <w:rPr>
          <w:rFonts w:ascii="黑体" w:hAnsi="黑体" w:eastAsia="黑体" w:cs="黑体"/>
          <w:bCs/>
          <w:color w:val="000000"/>
          <w:szCs w:val="30"/>
        </w:rPr>
      </w:pPr>
      <w:r>
        <w:rPr>
          <w:rFonts w:hint="eastAsia" w:ascii="黑体" w:hAnsi="黑体" w:eastAsia="黑体" w:cs="黑体"/>
          <w:bCs/>
          <w:color w:val="000000"/>
          <w:szCs w:val="30"/>
        </w:rPr>
        <w:t>绩效自评工作开展情况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为贯彻落实《中共三门峡市委 三门峡市人民政府关于全面实施预算绩效管理的实施意见》（三发〔2020〕14号）</w:t>
      </w:r>
      <w:bookmarkStart w:id="0" w:name="_GoBack"/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、三门峡市财政局关于开展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2021年度市级预算绩效自评工作的通知</w:t>
      </w:r>
      <w:r>
        <w:rPr>
          <w:rFonts w:hint="eastAsia" w:ascii="仿宋" w:hAnsi="仿宋" w:eastAsia="仿宋" w:cs="仿宋"/>
          <w:kern w:val="0"/>
          <w:sz w:val="32"/>
          <w:szCs w:val="32"/>
        </w:rPr>
        <w:t>（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三财效</w:t>
      </w:r>
      <w:r>
        <w:rPr>
          <w:rFonts w:hint="eastAsia" w:ascii="仿宋" w:hAnsi="仿宋" w:eastAsia="仿宋" w:cs="仿宋"/>
          <w:kern w:val="0"/>
          <w:sz w:val="32"/>
          <w:szCs w:val="32"/>
        </w:rPr>
        <w:t>发〔202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kern w:val="0"/>
          <w:sz w:val="32"/>
          <w:szCs w:val="32"/>
        </w:rPr>
        <w:t>〕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kern w:val="0"/>
          <w:sz w:val="32"/>
          <w:szCs w:val="32"/>
        </w:rPr>
        <w:t>号）</w:t>
      </w:r>
      <w:bookmarkEnd w:id="0"/>
      <w:r>
        <w:rPr>
          <w:rFonts w:hint="eastAsia" w:ascii="仿宋" w:hAnsi="仿宋" w:eastAsia="仿宋" w:cs="仿宋"/>
          <w:kern w:val="0"/>
          <w:sz w:val="32"/>
          <w:szCs w:val="32"/>
        </w:rPr>
        <w:t>等有关法律、法规及文件</w:t>
      </w:r>
      <w:r>
        <w:rPr>
          <w:rFonts w:hint="eastAsia" w:ascii="仿宋" w:hAnsi="仿宋" w:eastAsia="仿宋" w:cs="仿宋"/>
          <w:sz w:val="32"/>
          <w:szCs w:val="32"/>
        </w:rPr>
        <w:t>要求，我单位认真组织开展预算绩效评价工作，专门召开了相关业务部门参加的绩效评价专题工作会议，布置了时间节点和具体任务。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强化绩效目标管理，要求业务部门认真按照“谁使用资金，谁设置目标”，要求绩效目标在产出、成本、经济效益、社会效益、生态效益、可持续发展和服务对象满意度等指标，做到内容完整、指向明确、合理可行，与工作计划和预算资金相匹配。</w:t>
      </w:r>
    </w:p>
    <w:p>
      <w:pPr>
        <w:numPr>
          <w:ilvl w:val="0"/>
          <w:numId w:val="1"/>
        </w:numPr>
        <w:spacing w:line="600" w:lineRule="exact"/>
        <w:ind w:firstLine="600" w:firstLineChars="200"/>
        <w:rPr>
          <w:rFonts w:ascii="黑体" w:hAnsi="黑体" w:eastAsia="黑体" w:cs="黑体"/>
          <w:bCs/>
          <w:color w:val="000000"/>
          <w:szCs w:val="30"/>
        </w:rPr>
      </w:pPr>
      <w:r>
        <w:rPr>
          <w:rFonts w:hint="eastAsia" w:ascii="黑体" w:hAnsi="黑体" w:eastAsia="黑体" w:cs="黑体"/>
          <w:bCs/>
          <w:color w:val="000000"/>
          <w:szCs w:val="30"/>
        </w:rPr>
        <w:t>绩效自评结果及分析</w:t>
      </w:r>
    </w:p>
    <w:p>
      <w:pPr>
        <w:spacing w:line="600" w:lineRule="exact"/>
        <w:ind w:firstLine="602" w:firstLineChars="200"/>
        <w:rPr>
          <w:rFonts w:hint="eastAsia" w:ascii="楷体_GB2312" w:hAnsi="楷体_GB2312" w:eastAsia="楷体_GB2312" w:cs="楷体_GB2312"/>
          <w:b/>
          <w:color w:val="000000"/>
          <w:szCs w:val="30"/>
        </w:rPr>
      </w:pPr>
      <w:r>
        <w:rPr>
          <w:rFonts w:hint="eastAsia" w:ascii="楷体_GB2312" w:hAnsi="楷体_GB2312" w:eastAsia="楷体_GB2312" w:cs="楷体_GB2312"/>
          <w:b/>
          <w:color w:val="000000"/>
          <w:szCs w:val="30"/>
        </w:rPr>
        <w:t>（一）自评结果</w:t>
      </w:r>
    </w:p>
    <w:tbl>
      <w:tblPr>
        <w:tblStyle w:val="6"/>
        <w:tblW w:w="8115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7"/>
        <w:gridCol w:w="1509"/>
        <w:gridCol w:w="885"/>
        <w:gridCol w:w="826"/>
        <w:gridCol w:w="1055"/>
        <w:gridCol w:w="838"/>
        <w:gridCol w:w="880"/>
        <w:gridCol w:w="849"/>
        <w:gridCol w:w="69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</w:trPr>
        <w:tc>
          <w:tcPr>
            <w:tcW w:w="5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1509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ar"/>
              </w:rPr>
              <w:t>项目名称</w:t>
            </w:r>
          </w:p>
        </w:tc>
        <w:tc>
          <w:tcPr>
            <w:tcW w:w="885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ar"/>
              </w:rPr>
              <w:t>全年预算数（万元）</w:t>
            </w:r>
          </w:p>
        </w:tc>
        <w:tc>
          <w:tcPr>
            <w:tcW w:w="826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ar"/>
              </w:rPr>
              <w:t>执行数（万元）</w:t>
            </w:r>
          </w:p>
        </w:tc>
        <w:tc>
          <w:tcPr>
            <w:tcW w:w="1055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ar"/>
              </w:rPr>
              <w:t>执行率</w:t>
            </w:r>
          </w:p>
        </w:tc>
        <w:tc>
          <w:tcPr>
            <w:tcW w:w="838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ar"/>
              </w:rPr>
              <w:t>产出指标得分率</w:t>
            </w:r>
          </w:p>
        </w:tc>
        <w:tc>
          <w:tcPr>
            <w:tcW w:w="880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ar"/>
              </w:rPr>
              <w:t>效益指标得分率</w:t>
            </w:r>
          </w:p>
        </w:tc>
        <w:tc>
          <w:tcPr>
            <w:tcW w:w="849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ar"/>
              </w:rPr>
              <w:t>满意度指标得分率</w:t>
            </w:r>
          </w:p>
        </w:tc>
        <w:tc>
          <w:tcPr>
            <w:tcW w:w="69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ar"/>
              </w:rPr>
              <w:t>自评得分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57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cs="仿宋_GB2312"/>
                <w:sz w:val="24"/>
              </w:rPr>
            </w:pPr>
            <w:r>
              <w:rPr>
                <w:rFonts w:ascii="仿宋_GB2312" w:hAnsi="宋体" w:cs="仿宋_GB2312"/>
                <w:kern w:val="0"/>
                <w:sz w:val="24"/>
                <w:lang w:bidi="ar"/>
              </w:rPr>
              <w:t>1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执法处解决改革遗留问题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lang w:bidi="ar"/>
              </w:rPr>
              <w:t>150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 w:bidi="ar"/>
              </w:rPr>
              <w:t>63.92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 w:bidi="ar"/>
              </w:rPr>
              <w:t>43</w:t>
            </w:r>
            <w:r>
              <w:rPr>
                <w:rFonts w:hint="eastAsia" w:ascii="仿宋" w:hAnsi="仿宋" w:eastAsia="仿宋" w:cs="仿宋"/>
                <w:kern w:val="0"/>
                <w:sz w:val="24"/>
                <w:lang w:bidi="ar"/>
              </w:rPr>
              <w:t>%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lang w:bidi="ar"/>
              </w:rPr>
              <w:t>8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 w:bidi="ar"/>
              </w:rPr>
              <w:t>6</w:t>
            </w:r>
            <w:r>
              <w:rPr>
                <w:rFonts w:hint="eastAsia" w:ascii="仿宋" w:hAnsi="仿宋" w:eastAsia="仿宋" w:cs="仿宋"/>
                <w:kern w:val="0"/>
                <w:sz w:val="24"/>
                <w:lang w:bidi="ar"/>
              </w:rPr>
              <w:t>%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lang w:bidi="ar"/>
              </w:rPr>
              <w:t>100</w:t>
            </w:r>
            <w:r>
              <w:rPr>
                <w:rFonts w:hint="eastAsia" w:ascii="仿宋" w:hAnsi="仿宋" w:eastAsia="仿宋" w:cs="仿宋"/>
                <w:kern w:val="0"/>
                <w:sz w:val="24"/>
                <w:lang w:bidi="ar"/>
              </w:rPr>
              <w:t>%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bidi="ar"/>
              </w:rPr>
              <w:t>100%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</w:rPr>
              <w:t>8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7.3</w:t>
            </w:r>
          </w:p>
        </w:tc>
      </w:tr>
    </w:tbl>
    <w:p>
      <w:pPr>
        <w:numPr>
          <w:ilvl w:val="0"/>
          <w:numId w:val="2"/>
        </w:numPr>
        <w:spacing w:line="600" w:lineRule="exact"/>
        <w:rPr>
          <w:rFonts w:ascii="楷体_GB2312" w:hAnsi="楷体_GB2312" w:eastAsia="楷体_GB2312" w:cs="楷体_GB2312"/>
          <w:b/>
          <w:color w:val="000000"/>
          <w:szCs w:val="30"/>
        </w:rPr>
      </w:pPr>
      <w:r>
        <w:rPr>
          <w:rFonts w:hint="eastAsia" w:ascii="楷体_GB2312" w:hAnsi="楷体_GB2312" w:eastAsia="楷体_GB2312" w:cs="楷体_GB2312"/>
          <w:b/>
          <w:color w:val="000000"/>
          <w:szCs w:val="30"/>
        </w:rPr>
        <w:t>偏差较大项目说明</w:t>
      </w:r>
    </w:p>
    <w:p>
      <w:pPr>
        <w:snapToGrid w:val="0"/>
        <w:spacing w:line="360" w:lineRule="auto"/>
        <w:ind w:firstLine="628" w:firstLineChars="200"/>
        <w:rPr>
          <w:rFonts w:ascii="仿宋" w:hAnsi="仿宋" w:eastAsia="仿宋" w:cs="仿宋"/>
          <w:spacing w:val="-3"/>
          <w:sz w:val="32"/>
          <w:szCs w:val="32"/>
        </w:rPr>
      </w:pPr>
      <w:r>
        <w:rPr>
          <w:rFonts w:hint="eastAsia" w:ascii="仿宋" w:hAnsi="仿宋" w:eastAsia="仿宋" w:cs="仿宋"/>
          <w:spacing w:val="-3"/>
          <w:sz w:val="32"/>
          <w:szCs w:val="32"/>
        </w:rPr>
        <w:t>根据执法体制改革遗留问题，当前为在编人员的养老保险、住房公积金改革前欠款</w:t>
      </w:r>
      <w:r>
        <w:rPr>
          <w:rFonts w:hint="eastAsia" w:ascii="仿宋" w:hAnsi="仿宋" w:eastAsia="仿宋" w:cs="仿宋"/>
          <w:spacing w:val="-3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pacing w:val="-3"/>
          <w:sz w:val="32"/>
          <w:szCs w:val="32"/>
          <w:lang w:val="en-US" w:eastAsia="zh-CN"/>
        </w:rPr>
        <w:t>2020年度已完成</w:t>
      </w:r>
      <w:r>
        <w:rPr>
          <w:rFonts w:hint="eastAsia" w:ascii="仿宋" w:hAnsi="仿宋" w:eastAsia="仿宋" w:cs="仿宋"/>
          <w:spacing w:val="-3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pacing w:val="-3"/>
          <w:sz w:val="32"/>
          <w:szCs w:val="32"/>
        </w:rPr>
        <w:t>和人事代理</w:t>
      </w:r>
      <w:r>
        <w:rPr>
          <w:rFonts w:hint="eastAsia" w:ascii="仿宋" w:hAnsi="仿宋" w:eastAsia="仿宋" w:cs="仿宋"/>
          <w:spacing w:val="-3"/>
          <w:sz w:val="32"/>
          <w:szCs w:val="32"/>
          <w:lang w:eastAsia="zh-CN"/>
        </w:rPr>
        <w:t>（协管人员）</w:t>
      </w:r>
      <w:r>
        <w:rPr>
          <w:rFonts w:hint="eastAsia" w:ascii="仿宋" w:hAnsi="仿宋" w:eastAsia="仿宋" w:cs="仿宋"/>
          <w:spacing w:val="-3"/>
          <w:sz w:val="32"/>
          <w:szCs w:val="32"/>
        </w:rPr>
        <w:t>工资两项，资金从执法收入中逐年安排解决，弥补公用经费不足等。</w:t>
      </w:r>
    </w:p>
    <w:p>
      <w:pPr>
        <w:numPr>
          <w:ilvl w:val="0"/>
          <w:numId w:val="1"/>
        </w:numPr>
        <w:spacing w:line="600" w:lineRule="exact"/>
        <w:ind w:firstLine="600" w:firstLineChars="200"/>
        <w:rPr>
          <w:rFonts w:ascii="黑体" w:hAnsi="黑体" w:eastAsia="黑体" w:cs="黑体"/>
          <w:bCs/>
          <w:color w:val="000000"/>
          <w:szCs w:val="30"/>
        </w:rPr>
      </w:pPr>
      <w:r>
        <w:rPr>
          <w:rFonts w:hint="eastAsia" w:ascii="黑体" w:hAnsi="黑体" w:eastAsia="黑体" w:cs="黑体"/>
          <w:bCs/>
          <w:color w:val="000000"/>
          <w:szCs w:val="30"/>
        </w:rPr>
        <w:t>自评发现的问题及整改措施</w:t>
      </w:r>
    </w:p>
    <w:p>
      <w:pPr>
        <w:widowControl/>
        <w:spacing w:line="600" w:lineRule="exact"/>
        <w:ind w:firstLine="640" w:firstLineChars="200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绩效目标未完成原因：因疫情原因和违法源头得到有效控制以及执法力度进一步加强，我处在2</w:t>
      </w:r>
      <w:r>
        <w:rPr>
          <w:rFonts w:ascii="仿宋" w:hAnsi="仿宋" w:eastAsia="仿宋" w:cs="仿宋"/>
          <w:kern w:val="0"/>
          <w:sz w:val="32"/>
          <w:szCs w:val="32"/>
        </w:rPr>
        <w:t>02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kern w:val="0"/>
          <w:sz w:val="32"/>
          <w:szCs w:val="32"/>
        </w:rPr>
        <w:t>年度罚没收入按比例返还（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113.92</w:t>
      </w:r>
      <w:r>
        <w:rPr>
          <w:rFonts w:hint="eastAsia" w:ascii="仿宋" w:hAnsi="仿宋" w:eastAsia="仿宋" w:cs="仿宋"/>
          <w:kern w:val="0"/>
          <w:sz w:val="32"/>
          <w:szCs w:val="32"/>
        </w:rPr>
        <w:t>万元）过程中存在与年初预算2</w:t>
      </w:r>
      <w:r>
        <w:rPr>
          <w:rFonts w:ascii="仿宋" w:hAnsi="仿宋" w:eastAsia="仿宋" w:cs="仿宋"/>
          <w:kern w:val="0"/>
          <w:sz w:val="32"/>
          <w:szCs w:val="32"/>
        </w:rPr>
        <w:t>10</w:t>
      </w:r>
      <w:r>
        <w:rPr>
          <w:rFonts w:hint="eastAsia" w:ascii="仿宋" w:hAnsi="仿宋" w:eastAsia="仿宋" w:cs="仿宋"/>
          <w:kern w:val="0"/>
          <w:sz w:val="32"/>
          <w:szCs w:val="32"/>
        </w:rPr>
        <w:t>万元相比较有较大差异，</w:t>
      </w:r>
      <w:r>
        <w:rPr>
          <w:rFonts w:hint="eastAsia" w:ascii="仿宋" w:hAnsi="仿宋" w:eastAsia="仿宋" w:cs="仿宋"/>
          <w:sz w:val="32"/>
          <w:szCs w:val="32"/>
        </w:rPr>
        <w:t>其中解决改革遗留问题项目支出为1</w:t>
      </w:r>
      <w:r>
        <w:rPr>
          <w:rFonts w:ascii="仿宋" w:hAnsi="仿宋" w:eastAsia="仿宋" w:cs="仿宋"/>
          <w:sz w:val="32"/>
          <w:szCs w:val="32"/>
        </w:rPr>
        <w:t>50</w:t>
      </w:r>
      <w:r>
        <w:rPr>
          <w:rFonts w:hint="eastAsia" w:ascii="仿宋" w:hAnsi="仿宋" w:eastAsia="仿宋" w:cs="仿宋"/>
          <w:sz w:val="32"/>
          <w:szCs w:val="32"/>
        </w:rPr>
        <w:t>万元（2</w:t>
      </w:r>
      <w:r>
        <w:rPr>
          <w:rFonts w:ascii="仿宋" w:hAnsi="仿宋" w:eastAsia="仿宋" w:cs="仿宋"/>
          <w:sz w:val="32"/>
          <w:szCs w:val="32"/>
        </w:rPr>
        <w:t>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年实际项目支出为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63.92</w:t>
      </w:r>
      <w:r>
        <w:rPr>
          <w:rFonts w:hint="eastAsia" w:ascii="仿宋" w:hAnsi="仿宋" w:eastAsia="仿宋" w:cs="仿宋"/>
          <w:sz w:val="32"/>
          <w:szCs w:val="32"/>
        </w:rPr>
        <w:t>万元）</w:t>
      </w:r>
      <w:r>
        <w:rPr>
          <w:rFonts w:hint="eastAsia" w:ascii="仿宋" w:hAnsi="仿宋" w:eastAsia="仿宋" w:cs="仿宋"/>
          <w:kern w:val="0"/>
          <w:sz w:val="32"/>
          <w:szCs w:val="32"/>
        </w:rPr>
        <w:t>；下一步请上级财政部门根据我处实际情况，进一步加大项目支出，用于解决我处改革遗留问题的相关资金问题。</w:t>
      </w:r>
    </w:p>
    <w:p/>
    <w:p>
      <w:pPr>
        <w:spacing w:line="560" w:lineRule="exact"/>
        <w:ind w:firstLine="600" w:firstLineChars="200"/>
        <w:rPr>
          <w:rFonts w:ascii="黑体" w:hAnsi="黑体" w:eastAsia="黑体" w:cs="黑体"/>
          <w:bCs/>
          <w:szCs w:val="30"/>
        </w:rPr>
      </w:pPr>
    </w:p>
    <w:p>
      <w:pPr>
        <w:spacing w:line="580" w:lineRule="exact"/>
        <w:ind w:left="640"/>
        <w:rPr>
          <w:rFonts w:ascii="仿宋" w:hAnsi="仿宋" w:eastAsia="仿宋" w:cs="仿宋"/>
          <w:color w:val="0070C0"/>
          <w:sz w:val="32"/>
          <w:szCs w:val="32"/>
        </w:rPr>
      </w:pPr>
    </w:p>
    <w:p>
      <w:pPr>
        <w:topLinePunct/>
        <w:autoSpaceDE w:val="0"/>
        <w:adjustRightInd w:val="0"/>
        <w:snapToGrid w:val="0"/>
        <w:spacing w:line="580" w:lineRule="exact"/>
        <w:rPr>
          <w:rFonts w:ascii="仿宋" w:hAnsi="仿宋" w:eastAsia="仿宋" w:cs="仿宋"/>
          <w:color w:val="0070C0"/>
          <w:sz w:val="32"/>
          <w:szCs w:val="32"/>
        </w:rPr>
      </w:pPr>
      <w:r>
        <w:rPr>
          <w:rFonts w:hint="eastAsia" w:ascii="仿宋" w:hAnsi="仿宋" w:eastAsia="仿宋" w:cs="仿宋"/>
          <w:color w:val="0070C0"/>
          <w:sz w:val="32"/>
          <w:szCs w:val="32"/>
        </w:rPr>
        <w:t xml:space="preserve">                                </w:t>
      </w:r>
    </w:p>
    <w:p>
      <w:pPr>
        <w:topLinePunct/>
        <w:autoSpaceDE w:val="0"/>
        <w:adjustRightInd w:val="0"/>
        <w:snapToGrid w:val="0"/>
        <w:spacing w:line="58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70C0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附件： 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年市执法处项目支出绩效自评表-解决改革遗留问题</w:t>
      </w:r>
    </w:p>
    <w:p>
      <w:pPr>
        <w:topLinePunct/>
        <w:autoSpaceDE w:val="0"/>
        <w:adjustRightInd w:val="0"/>
        <w:snapToGrid w:val="0"/>
        <w:spacing w:line="580" w:lineRule="exact"/>
        <w:rPr>
          <w:rFonts w:ascii="仿宋" w:hAnsi="仿宋" w:eastAsia="仿宋" w:cs="仿宋"/>
          <w:sz w:val="32"/>
          <w:szCs w:val="32"/>
        </w:rPr>
      </w:pPr>
    </w:p>
    <w:p>
      <w:pPr>
        <w:topLinePunct/>
        <w:autoSpaceDE w:val="0"/>
        <w:adjustRightInd w:val="0"/>
        <w:snapToGrid w:val="0"/>
        <w:spacing w:line="58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     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27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sectPr>
      <w:headerReference r:id="rId3" w:type="default"/>
      <w:footerReference r:id="rId4" w:type="default"/>
      <w:pgSz w:w="11906" w:h="16838"/>
      <w:pgMar w:top="1814" w:right="1474" w:bottom="1417" w:left="1587" w:header="737" w:footer="794" w:gutter="0"/>
      <w:pgNumType w:fmt="numberInDash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_GB2312">
    <w:altName w:val="方正楷体_GBK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文本框1" o:spid="_x0000_s4097" o:spt="202" type="#_x0000_t202" style="position:absolute;left:0pt;margin-top:0pt;height:144pt;width:144pt;mso-position-horizontal:center;mso-position-horizontal-relative:margin;mso-wrap-style:none;z-index:1024;mso-width-relative:page;mso-height-relative:page;" filled="f" o:preferrelative="t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t>- 1 -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30EE7FC"/>
    <w:multiLevelType w:val="singleLevel"/>
    <w:tmpl w:val="E30EE7F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C0671CD"/>
    <w:multiLevelType w:val="multilevel"/>
    <w:tmpl w:val="6C0671CD"/>
    <w:lvl w:ilvl="0" w:tentative="0">
      <w:start w:val="2"/>
      <w:numFmt w:val="japaneseCounting"/>
      <w:lvlText w:val="（%1）"/>
      <w:lvlJc w:val="left"/>
      <w:pPr>
        <w:ind w:left="168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40" w:hanging="420"/>
      </w:pPr>
    </w:lvl>
    <w:lvl w:ilvl="2" w:tentative="0">
      <w:start w:val="1"/>
      <w:numFmt w:val="lowerRoman"/>
      <w:lvlText w:val="%3."/>
      <w:lvlJc w:val="right"/>
      <w:pPr>
        <w:ind w:left="1860" w:hanging="420"/>
      </w:pPr>
    </w:lvl>
    <w:lvl w:ilvl="3" w:tentative="0">
      <w:start w:val="1"/>
      <w:numFmt w:val="decimal"/>
      <w:lvlText w:val="%4."/>
      <w:lvlJc w:val="left"/>
      <w:pPr>
        <w:ind w:left="2280" w:hanging="420"/>
      </w:pPr>
    </w:lvl>
    <w:lvl w:ilvl="4" w:tentative="0">
      <w:start w:val="1"/>
      <w:numFmt w:val="lowerLetter"/>
      <w:lvlText w:val="%5)"/>
      <w:lvlJc w:val="left"/>
      <w:pPr>
        <w:ind w:left="2700" w:hanging="420"/>
      </w:pPr>
    </w:lvl>
    <w:lvl w:ilvl="5" w:tentative="0">
      <w:start w:val="1"/>
      <w:numFmt w:val="lowerRoman"/>
      <w:lvlText w:val="%6."/>
      <w:lvlJc w:val="right"/>
      <w:pPr>
        <w:ind w:left="3120" w:hanging="420"/>
      </w:pPr>
    </w:lvl>
    <w:lvl w:ilvl="6" w:tentative="0">
      <w:start w:val="1"/>
      <w:numFmt w:val="decimal"/>
      <w:lvlText w:val="%7."/>
      <w:lvlJc w:val="left"/>
      <w:pPr>
        <w:ind w:left="3540" w:hanging="420"/>
      </w:pPr>
    </w:lvl>
    <w:lvl w:ilvl="7" w:tentative="0">
      <w:start w:val="1"/>
      <w:numFmt w:val="lowerLetter"/>
      <w:lvlText w:val="%8)"/>
      <w:lvlJc w:val="left"/>
      <w:pPr>
        <w:ind w:left="3960" w:hanging="420"/>
      </w:pPr>
    </w:lvl>
    <w:lvl w:ilvl="8" w:tentative="0">
      <w:start w:val="1"/>
      <w:numFmt w:val="lowerRoman"/>
      <w:lvlText w:val="%9."/>
      <w:lvlJc w:val="right"/>
      <w:pPr>
        <w:ind w:left="4380" w:hanging="420"/>
      </w:pPr>
    </w:lvl>
  </w:abstractNum>
  <w:num w:numId="1">
    <w:abstractNumId w:val="0"/>
    <w:lvlOverride w:ilvl="0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NotTrackMoves/>
  <w:documentProtection w:enforcement="0"/>
  <w:defaultTabStop w:val="420"/>
  <w:drawingGridVerticalSpacing w:val="156"/>
  <w:noPunctuationKerning w:val="true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219F"/>
    <w:rsid w:val="00045027"/>
    <w:rsid w:val="000B1ED8"/>
    <w:rsid w:val="00131497"/>
    <w:rsid w:val="00133B8D"/>
    <w:rsid w:val="00266E91"/>
    <w:rsid w:val="003C2DE5"/>
    <w:rsid w:val="003E4C15"/>
    <w:rsid w:val="00402C10"/>
    <w:rsid w:val="004458F9"/>
    <w:rsid w:val="00566B94"/>
    <w:rsid w:val="005E6D38"/>
    <w:rsid w:val="00607B39"/>
    <w:rsid w:val="00654D8B"/>
    <w:rsid w:val="0075045D"/>
    <w:rsid w:val="007E6450"/>
    <w:rsid w:val="008779E3"/>
    <w:rsid w:val="008860DB"/>
    <w:rsid w:val="0089446A"/>
    <w:rsid w:val="008A3747"/>
    <w:rsid w:val="008D31A7"/>
    <w:rsid w:val="008E10AF"/>
    <w:rsid w:val="009275E8"/>
    <w:rsid w:val="009F42D6"/>
    <w:rsid w:val="00A27DF7"/>
    <w:rsid w:val="00A637A9"/>
    <w:rsid w:val="00A81F89"/>
    <w:rsid w:val="00A83629"/>
    <w:rsid w:val="00B61665"/>
    <w:rsid w:val="00B829DD"/>
    <w:rsid w:val="00B969D1"/>
    <w:rsid w:val="00BA3192"/>
    <w:rsid w:val="00BB2D34"/>
    <w:rsid w:val="00BC2586"/>
    <w:rsid w:val="00C318A4"/>
    <w:rsid w:val="00C92111"/>
    <w:rsid w:val="00CB484F"/>
    <w:rsid w:val="00CB5F8F"/>
    <w:rsid w:val="00DF26E5"/>
    <w:rsid w:val="00E243BE"/>
    <w:rsid w:val="00E34BA5"/>
    <w:rsid w:val="00F11F99"/>
    <w:rsid w:val="00F8219F"/>
    <w:rsid w:val="58BF05E0"/>
    <w:rsid w:val="BACD82B7"/>
    <w:rsid w:val="E7395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paragraph" w:styleId="2">
    <w:name w:val="heading 2"/>
    <w:basedOn w:val="1"/>
    <w:next w:val="1"/>
    <w:link w:val="9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character" w:styleId="8">
    <w:name w:val="page number"/>
    <w:basedOn w:val="7"/>
    <w:qFormat/>
    <w:uiPriority w:val="0"/>
  </w:style>
  <w:style w:type="character" w:customStyle="1" w:styleId="9">
    <w:name w:val="标题 2 字符"/>
    <w:link w:val="2"/>
    <w:qFormat/>
    <w:uiPriority w:val="0"/>
    <w:rPr>
      <w:rFonts w:ascii="Arial" w:hAnsi="Arial" w:eastAsia="黑体"/>
      <w:b/>
      <w:kern w:val="2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173</Words>
  <Characters>991</Characters>
  <Lines>8</Lines>
  <Paragraphs>2</Paragraphs>
  <TotalTime>14</TotalTime>
  <ScaleCrop>false</ScaleCrop>
  <LinksUpToDate>false</LinksUpToDate>
  <CharactersWithSpaces>1162</CharactersWithSpaces>
  <Application>WPS Office_11.8.2.10534_F1E327BC-269C-435d-A152-05C5408002CA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2021-06-06T05:03:00Z</dcterms:created>
  <dc:creator>大象</dc:creator>
  <cp:lastModifiedBy>kylin</cp:lastModifiedBy>
  <dcterms:modified xsi:type="dcterms:W3CDTF">2022-04-27T17:40:15Z</dcterms:modified>
  <dc:title>整体支出绩效自评报告</dc:title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2052-11.8.2.10534</vt:lpwstr>
  </property>
  <property fmtid="{D5CDD505-2E9C-101B-9397-08002B2CF9AE}" pid="3" name="ICV">
    <vt:lpwstr>142546D27901436B9424E307059D9B85</vt:lpwstr>
  </property>
</Properties>
</file>